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365" w:rsidRPr="00DE0A4D" w:rsidRDefault="001A1365" w:rsidP="00CA58AE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APPENDIX </w:t>
      </w:r>
      <w:r w:rsidR="00114C6C">
        <w:rPr>
          <w:rFonts w:ascii="Arial" w:hAnsi="Arial" w:cs="Arial"/>
          <w:b/>
          <w:sz w:val="36"/>
          <w:szCs w:val="36"/>
        </w:rPr>
        <w:t>A2:</w:t>
      </w:r>
      <w:bookmarkStart w:id="0" w:name="_GoBack"/>
      <w:bookmarkEnd w:id="0"/>
      <w:r w:rsidRPr="00DE0A4D">
        <w:rPr>
          <w:rFonts w:ascii="Arial" w:hAnsi="Arial" w:cs="Arial"/>
          <w:b/>
          <w:sz w:val="36"/>
          <w:szCs w:val="36"/>
        </w:rPr>
        <w:t xml:space="preserve">  CHANGES TO PLAN SELECTION METHODOLOGY</w:t>
      </w:r>
    </w:p>
    <w:p w:rsidR="001A1365" w:rsidRPr="00CB3F6C" w:rsidRDefault="001A1365" w:rsidP="00F11B6D">
      <w:pPr>
        <w:rPr>
          <w:rFonts w:ascii="Arial" w:hAnsi="Arial" w:cs="Arial"/>
          <w:b/>
        </w:rPr>
      </w:pPr>
    </w:p>
    <w:p w:rsidR="001A1365" w:rsidRPr="00DE0A4D" w:rsidRDefault="001A1365" w:rsidP="00F11B6D">
      <w:p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 xml:space="preserve">The </w:t>
      </w:r>
      <w:r w:rsidRPr="00DE0A4D">
        <w:rPr>
          <w:rFonts w:ascii="Arial" w:hAnsi="Arial" w:cs="Arial"/>
          <w:i/>
          <w:sz w:val="22"/>
          <w:szCs w:val="22"/>
        </w:rPr>
        <w:t xml:space="preserve">Group Health Plans Report: </w:t>
      </w:r>
      <w:r>
        <w:rPr>
          <w:rFonts w:ascii="Arial" w:hAnsi="Arial" w:cs="Arial"/>
          <w:i/>
          <w:sz w:val="22"/>
          <w:szCs w:val="22"/>
        </w:rPr>
        <w:t>March 2012, Abstract of 2009</w:t>
      </w:r>
      <w:r w:rsidRPr="00DE0A4D">
        <w:rPr>
          <w:rFonts w:ascii="Arial" w:hAnsi="Arial" w:cs="Arial"/>
          <w:i/>
          <w:sz w:val="22"/>
          <w:szCs w:val="22"/>
        </w:rPr>
        <w:t xml:space="preserve"> Form 5500 Annual Reports Reflecting </w:t>
      </w:r>
      <w:r w:rsidRPr="00E31BBC">
        <w:rPr>
          <w:rFonts w:ascii="Arial" w:hAnsi="Arial" w:cs="Arial"/>
          <w:b/>
          <w:i/>
          <w:sz w:val="22"/>
          <w:szCs w:val="22"/>
        </w:rPr>
        <w:t>Statistical</w:t>
      </w:r>
      <w:r w:rsidRPr="00DE0A4D">
        <w:rPr>
          <w:rFonts w:ascii="Arial" w:hAnsi="Arial" w:cs="Arial"/>
          <w:i/>
          <w:sz w:val="22"/>
          <w:szCs w:val="22"/>
        </w:rPr>
        <w:t xml:space="preserve"> Year Filings (</w:t>
      </w:r>
      <w:r>
        <w:rPr>
          <w:rFonts w:ascii="Arial" w:hAnsi="Arial" w:cs="Arial"/>
          <w:i/>
          <w:sz w:val="22"/>
          <w:szCs w:val="22"/>
        </w:rPr>
        <w:t>March 2012</w:t>
      </w:r>
      <w:r w:rsidRPr="00DE0A4D">
        <w:rPr>
          <w:rFonts w:ascii="Arial" w:hAnsi="Arial" w:cs="Arial"/>
          <w:i/>
          <w:sz w:val="22"/>
          <w:szCs w:val="22"/>
        </w:rPr>
        <w:t xml:space="preserve"> Report)</w:t>
      </w:r>
      <w:r w:rsidRPr="00DE0A4D">
        <w:rPr>
          <w:rFonts w:ascii="Arial" w:hAnsi="Arial" w:cs="Arial"/>
          <w:sz w:val="22"/>
          <w:szCs w:val="22"/>
        </w:rPr>
        <w:t xml:space="preserve"> reflects several changes made </w:t>
      </w:r>
      <w:r>
        <w:rPr>
          <w:rFonts w:ascii="Arial" w:hAnsi="Arial" w:cs="Arial"/>
          <w:sz w:val="22"/>
          <w:szCs w:val="22"/>
        </w:rPr>
        <w:t>after</w:t>
      </w:r>
      <w:r w:rsidRPr="00DE0A4D"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t xml:space="preserve"> publication of the</w:t>
      </w:r>
      <w:r w:rsidRPr="00DE0A4D">
        <w:rPr>
          <w:rFonts w:ascii="Arial" w:hAnsi="Arial" w:cs="Arial"/>
          <w:sz w:val="22"/>
          <w:szCs w:val="22"/>
        </w:rPr>
        <w:t xml:space="preserve"> </w:t>
      </w:r>
      <w:r w:rsidRPr="00DE0A4D">
        <w:rPr>
          <w:rFonts w:ascii="Arial" w:hAnsi="Arial" w:cs="Arial"/>
          <w:i/>
          <w:sz w:val="22"/>
          <w:szCs w:val="22"/>
        </w:rPr>
        <w:t xml:space="preserve">Group Health Plans Report: March 2011, Abstract of 2008 Form 5500 Annual Reports Reflecting </w:t>
      </w:r>
      <w:r w:rsidRPr="00E31BBC">
        <w:rPr>
          <w:rFonts w:ascii="Arial" w:hAnsi="Arial" w:cs="Arial"/>
          <w:b/>
          <w:i/>
          <w:sz w:val="22"/>
          <w:szCs w:val="22"/>
        </w:rPr>
        <w:t xml:space="preserve">Calendar </w:t>
      </w:r>
      <w:r w:rsidRPr="00DE0A4D">
        <w:rPr>
          <w:rFonts w:ascii="Arial" w:hAnsi="Arial" w:cs="Arial"/>
          <w:i/>
          <w:sz w:val="22"/>
          <w:szCs w:val="22"/>
        </w:rPr>
        <w:t>Year Filings (March 2011 Report)</w:t>
      </w:r>
      <w:r w:rsidRPr="00DE0A4D">
        <w:rPr>
          <w:rFonts w:ascii="Arial" w:hAnsi="Arial" w:cs="Arial"/>
          <w:sz w:val="22"/>
          <w:szCs w:val="22"/>
        </w:rPr>
        <w:t>.  These changes concern two fundamental operations performed to create the data file</w:t>
      </w:r>
      <w:r>
        <w:rPr>
          <w:rFonts w:ascii="Arial" w:hAnsi="Arial" w:cs="Arial"/>
          <w:sz w:val="22"/>
          <w:szCs w:val="22"/>
        </w:rPr>
        <w:t>s that underlie</w:t>
      </w:r>
      <w:r w:rsidRPr="00DE0A4D">
        <w:rPr>
          <w:rFonts w:ascii="Arial" w:hAnsi="Arial" w:cs="Arial"/>
          <w:sz w:val="22"/>
          <w:szCs w:val="22"/>
        </w:rPr>
        <w:t xml:space="preserve"> the </w:t>
      </w:r>
      <w:r w:rsidRPr="00DE0A4D">
        <w:rPr>
          <w:rFonts w:ascii="Arial" w:hAnsi="Arial" w:cs="Arial"/>
          <w:i/>
          <w:sz w:val="22"/>
          <w:szCs w:val="22"/>
        </w:rPr>
        <w:t>Reports</w:t>
      </w:r>
      <w:r w:rsidRPr="00DE0A4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(1) defining the plan year and (2)</w:t>
      </w:r>
      <w:r w:rsidRPr="00DE0A4D">
        <w:rPr>
          <w:rFonts w:ascii="Arial" w:hAnsi="Arial" w:cs="Arial"/>
          <w:sz w:val="22"/>
          <w:szCs w:val="22"/>
        </w:rPr>
        <w:t xml:space="preserve"> the treatment of terminating plans.  </w:t>
      </w:r>
    </w:p>
    <w:p w:rsidR="001A1365" w:rsidRDefault="001A1365" w:rsidP="004A3BE7">
      <w:pPr>
        <w:rPr>
          <w:rFonts w:ascii="Arial" w:hAnsi="Arial" w:cs="Arial"/>
        </w:rPr>
      </w:pPr>
    </w:p>
    <w:p w:rsidR="001A1365" w:rsidRDefault="001A1365" w:rsidP="00F11B6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EBSA Data Systems</w:t>
      </w:r>
    </w:p>
    <w:p w:rsidR="001A1365" w:rsidRDefault="001A1365" w:rsidP="00F11B6D">
      <w:pPr>
        <w:rPr>
          <w:rFonts w:ascii="Arial" w:hAnsi="Arial" w:cs="Arial"/>
        </w:rPr>
      </w:pPr>
    </w:p>
    <w:p w:rsidR="001A1365" w:rsidRDefault="001A1365" w:rsidP="00F11B6D">
      <w:p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Under the ERISA Filing Acceptance System (EFAST) processing effort, processed Form 5500 filings</w:t>
      </w:r>
      <w:r>
        <w:rPr>
          <w:rFonts w:ascii="Arial" w:hAnsi="Arial" w:cs="Arial"/>
          <w:sz w:val="22"/>
          <w:szCs w:val="22"/>
        </w:rPr>
        <w:t xml:space="preserve"> received prior to January 1, 2010,</w:t>
      </w:r>
      <w:r w:rsidRPr="00DE0A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were</w:t>
      </w:r>
      <w:r w:rsidR="005E0C96">
        <w:rPr>
          <w:rFonts w:ascii="Arial" w:hAnsi="Arial" w:cs="Arial"/>
          <w:sz w:val="22"/>
          <w:szCs w:val="22"/>
        </w:rPr>
        <w:t xml:space="preserve"> loaded into </w:t>
      </w:r>
      <w:r w:rsidR="00923200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database</w:t>
      </w:r>
      <w:r w:rsidR="00397EC1">
        <w:rPr>
          <w:rFonts w:ascii="Arial" w:hAnsi="Arial" w:cs="Arial"/>
          <w:sz w:val="22"/>
          <w:szCs w:val="22"/>
        </w:rPr>
        <w:t xml:space="preserve"> that</w:t>
      </w:r>
      <w:r>
        <w:rPr>
          <w:rFonts w:ascii="Arial" w:hAnsi="Arial" w:cs="Arial"/>
          <w:sz w:val="22"/>
          <w:szCs w:val="22"/>
        </w:rPr>
        <w:t xml:space="preserve"> </w:t>
      </w:r>
      <w:r w:rsidRPr="00DE0A4D">
        <w:rPr>
          <w:rFonts w:ascii="Arial" w:hAnsi="Arial" w:cs="Arial"/>
          <w:sz w:val="22"/>
          <w:szCs w:val="22"/>
        </w:rPr>
        <w:t>consist</w:t>
      </w:r>
      <w:r w:rsidR="00923200">
        <w:rPr>
          <w:rFonts w:ascii="Arial" w:hAnsi="Arial" w:cs="Arial"/>
          <w:sz w:val="22"/>
          <w:szCs w:val="22"/>
        </w:rPr>
        <w:t>s</w:t>
      </w:r>
      <w:r w:rsidRPr="00DE0A4D">
        <w:rPr>
          <w:rFonts w:ascii="Arial" w:hAnsi="Arial" w:cs="Arial"/>
          <w:sz w:val="22"/>
          <w:szCs w:val="22"/>
        </w:rPr>
        <w:t xml:space="preserve"> of all Form 5500 Forms and Schedules</w:t>
      </w:r>
      <w:r w:rsidR="00397EC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DE0A4D">
        <w:rPr>
          <w:rFonts w:ascii="Arial" w:hAnsi="Arial" w:cs="Arial"/>
          <w:sz w:val="22"/>
          <w:szCs w:val="22"/>
        </w:rPr>
        <w:t xml:space="preserve">as well as generated summary information, for each employee benefit plan year.  </w:t>
      </w:r>
      <w:r w:rsidR="00923200">
        <w:rPr>
          <w:rFonts w:ascii="Arial" w:hAnsi="Arial" w:cs="Arial"/>
          <w:sz w:val="22"/>
          <w:szCs w:val="22"/>
        </w:rPr>
        <w:t>This database</w:t>
      </w:r>
      <w:r>
        <w:rPr>
          <w:rFonts w:ascii="Arial" w:hAnsi="Arial" w:cs="Arial"/>
          <w:sz w:val="22"/>
          <w:szCs w:val="22"/>
        </w:rPr>
        <w:t xml:space="preserve"> include</w:t>
      </w:r>
      <w:r w:rsidR="00923200">
        <w:rPr>
          <w:rFonts w:ascii="Arial" w:hAnsi="Arial" w:cs="Arial"/>
          <w:sz w:val="22"/>
          <w:szCs w:val="22"/>
        </w:rPr>
        <w:t>s</w:t>
      </w:r>
      <w:r w:rsidRPr="00DE0A4D">
        <w:rPr>
          <w:rFonts w:ascii="Arial" w:hAnsi="Arial" w:cs="Arial"/>
          <w:sz w:val="22"/>
          <w:szCs w:val="22"/>
        </w:rPr>
        <w:t xml:space="preserve"> unedited Form 5500 Annual Return/Report</w:t>
      </w:r>
      <w:r>
        <w:rPr>
          <w:rFonts w:ascii="Arial" w:hAnsi="Arial" w:cs="Arial"/>
          <w:sz w:val="22"/>
          <w:szCs w:val="22"/>
        </w:rPr>
        <w:t>s</w:t>
      </w:r>
      <w:r w:rsidRPr="00DE0A4D">
        <w:rPr>
          <w:rFonts w:ascii="Arial" w:hAnsi="Arial" w:cs="Arial"/>
          <w:sz w:val="22"/>
          <w:szCs w:val="22"/>
        </w:rPr>
        <w:t xml:space="preserve"> for pension plans, welfare plans, and direct fil</w:t>
      </w:r>
      <w:r>
        <w:rPr>
          <w:rFonts w:ascii="Arial" w:hAnsi="Arial" w:cs="Arial"/>
          <w:sz w:val="22"/>
          <w:szCs w:val="22"/>
        </w:rPr>
        <w:t>ing entities (DFEs)</w:t>
      </w:r>
      <w:r w:rsidR="002406B1">
        <w:rPr>
          <w:rFonts w:ascii="Arial" w:hAnsi="Arial" w:cs="Arial"/>
          <w:sz w:val="22"/>
          <w:szCs w:val="22"/>
        </w:rPr>
        <w:t>;</w:t>
      </w:r>
      <w:r w:rsidR="005E0C96">
        <w:rPr>
          <w:rFonts w:ascii="Arial" w:hAnsi="Arial" w:cs="Arial"/>
          <w:sz w:val="22"/>
          <w:szCs w:val="22"/>
        </w:rPr>
        <w:t xml:space="preserve"> </w:t>
      </w:r>
      <w:r w:rsidRPr="00DE0A4D">
        <w:rPr>
          <w:rFonts w:ascii="Arial" w:hAnsi="Arial" w:cs="Arial"/>
          <w:sz w:val="22"/>
          <w:szCs w:val="22"/>
        </w:rPr>
        <w:t>Form 5500-EZ (One-Participant Plan) filings</w:t>
      </w:r>
      <w:r w:rsidR="002406B1">
        <w:rPr>
          <w:rFonts w:ascii="Arial" w:hAnsi="Arial" w:cs="Arial"/>
          <w:sz w:val="22"/>
          <w:szCs w:val="22"/>
        </w:rPr>
        <w:t>;</w:t>
      </w:r>
      <w:r w:rsidRPr="00DE0A4D">
        <w:rPr>
          <w:rFonts w:ascii="Arial" w:hAnsi="Arial" w:cs="Arial"/>
          <w:sz w:val="22"/>
          <w:szCs w:val="22"/>
        </w:rPr>
        <w:t xml:space="preserve"> and Internal Revenue Service (IRS) entity inform</w:t>
      </w:r>
      <w:r>
        <w:rPr>
          <w:rFonts w:ascii="Arial" w:hAnsi="Arial" w:cs="Arial"/>
          <w:sz w:val="22"/>
          <w:szCs w:val="22"/>
        </w:rPr>
        <w:t xml:space="preserve">ation.  The </w:t>
      </w:r>
      <w:r w:rsidR="00923200">
        <w:rPr>
          <w:rFonts w:ascii="Arial" w:hAnsi="Arial" w:cs="Arial"/>
          <w:sz w:val="22"/>
          <w:szCs w:val="22"/>
        </w:rPr>
        <w:t>database is</w:t>
      </w:r>
      <w:r w:rsidRPr="00DE0A4D">
        <w:rPr>
          <w:rFonts w:ascii="Arial" w:hAnsi="Arial" w:cs="Arial"/>
          <w:sz w:val="22"/>
          <w:szCs w:val="22"/>
        </w:rPr>
        <w:t xml:space="preserve"> divided </w:t>
      </w:r>
      <w:r>
        <w:rPr>
          <w:rFonts w:ascii="Arial" w:hAnsi="Arial" w:cs="Arial"/>
          <w:sz w:val="22"/>
          <w:szCs w:val="22"/>
        </w:rPr>
        <w:t xml:space="preserve">into </w:t>
      </w:r>
      <w:r w:rsidRPr="00DE0A4D">
        <w:rPr>
          <w:rFonts w:ascii="Arial" w:hAnsi="Arial" w:cs="Arial"/>
          <w:sz w:val="22"/>
          <w:szCs w:val="22"/>
        </w:rPr>
        <w:t xml:space="preserve">sets of </w:t>
      </w:r>
      <w:r>
        <w:rPr>
          <w:rFonts w:ascii="Arial" w:hAnsi="Arial" w:cs="Arial"/>
          <w:sz w:val="22"/>
          <w:szCs w:val="22"/>
        </w:rPr>
        <w:t>data tables based on when the Form 5500 filings were</w:t>
      </w:r>
      <w:r w:rsidRPr="00DE0A4D">
        <w:rPr>
          <w:rFonts w:ascii="Arial" w:hAnsi="Arial" w:cs="Arial"/>
          <w:sz w:val="22"/>
          <w:szCs w:val="22"/>
        </w:rPr>
        <w:t xml:space="preserve"> processed</w:t>
      </w:r>
      <w:r>
        <w:rPr>
          <w:rFonts w:ascii="Arial" w:hAnsi="Arial" w:cs="Arial"/>
          <w:sz w:val="22"/>
          <w:szCs w:val="22"/>
        </w:rPr>
        <w:t>, leading to sets of data that were</w:t>
      </w:r>
      <w:r w:rsidRPr="00DE0A4D">
        <w:rPr>
          <w:rFonts w:ascii="Arial" w:hAnsi="Arial" w:cs="Arial"/>
          <w:sz w:val="22"/>
          <w:szCs w:val="22"/>
        </w:rPr>
        <w:t xml:space="preserve"> divided largely based on plan year beginning dates</w:t>
      </w:r>
      <w:r>
        <w:rPr>
          <w:rFonts w:ascii="Arial" w:hAnsi="Arial" w:cs="Arial"/>
          <w:sz w:val="22"/>
          <w:szCs w:val="22"/>
        </w:rPr>
        <w:t>, with some exceptions.</w:t>
      </w:r>
    </w:p>
    <w:p w:rsidR="001A1365" w:rsidRDefault="001A1365" w:rsidP="004349DD">
      <w:pPr>
        <w:rPr>
          <w:rFonts w:ascii="Arial" w:hAnsi="Arial" w:cs="Arial"/>
          <w:sz w:val="22"/>
          <w:szCs w:val="22"/>
        </w:rPr>
      </w:pPr>
    </w:p>
    <w:p w:rsidR="001A1365" w:rsidRDefault="001A1365" w:rsidP="004349DD">
      <w:p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 xml:space="preserve">For </w:t>
      </w:r>
      <w:r>
        <w:rPr>
          <w:rFonts w:ascii="Arial" w:hAnsi="Arial" w:cs="Arial"/>
          <w:sz w:val="22"/>
          <w:szCs w:val="22"/>
        </w:rPr>
        <w:t>example</w:t>
      </w:r>
      <w:r w:rsidRPr="00DE0A4D">
        <w:rPr>
          <w:rFonts w:ascii="Arial" w:hAnsi="Arial" w:cs="Arial"/>
          <w:sz w:val="22"/>
          <w:szCs w:val="22"/>
        </w:rPr>
        <w:t xml:space="preserve">, approximately 87 percent of </w:t>
      </w:r>
      <w:r>
        <w:rPr>
          <w:rFonts w:ascii="Arial" w:hAnsi="Arial" w:cs="Arial"/>
          <w:sz w:val="22"/>
          <w:szCs w:val="22"/>
        </w:rPr>
        <w:t xml:space="preserve">all Form 5500 </w:t>
      </w:r>
      <w:r w:rsidR="005E0C96">
        <w:rPr>
          <w:rFonts w:ascii="Arial" w:hAnsi="Arial" w:cs="Arial"/>
          <w:sz w:val="22"/>
          <w:szCs w:val="22"/>
        </w:rPr>
        <w:t xml:space="preserve">filings found in the 2008 </w:t>
      </w:r>
      <w:r>
        <w:rPr>
          <w:rFonts w:ascii="Arial" w:hAnsi="Arial" w:cs="Arial"/>
          <w:sz w:val="22"/>
          <w:szCs w:val="22"/>
        </w:rPr>
        <w:t xml:space="preserve">data library </w:t>
      </w:r>
      <w:r w:rsidRPr="00DE0A4D">
        <w:rPr>
          <w:rFonts w:ascii="Arial" w:hAnsi="Arial" w:cs="Arial"/>
          <w:sz w:val="22"/>
          <w:szCs w:val="22"/>
        </w:rPr>
        <w:t xml:space="preserve">are for plans with </w:t>
      </w:r>
      <w:r>
        <w:rPr>
          <w:rFonts w:ascii="Arial" w:hAnsi="Arial" w:cs="Arial"/>
          <w:sz w:val="22"/>
          <w:szCs w:val="22"/>
        </w:rPr>
        <w:t xml:space="preserve">a 2008 </w:t>
      </w:r>
      <w:r w:rsidRPr="00DE0A4D">
        <w:rPr>
          <w:rFonts w:ascii="Arial" w:hAnsi="Arial" w:cs="Arial"/>
          <w:sz w:val="22"/>
          <w:szCs w:val="22"/>
        </w:rPr>
        <w:t xml:space="preserve">plan </w:t>
      </w:r>
      <w:r w:rsidRPr="00DE0A4D">
        <w:rPr>
          <w:rFonts w:ascii="Arial" w:hAnsi="Arial" w:cs="Arial"/>
          <w:sz w:val="22"/>
          <w:szCs w:val="22"/>
        </w:rPr>
        <w:lastRenderedPageBreak/>
        <w:t xml:space="preserve">year </w:t>
      </w:r>
      <w:r>
        <w:rPr>
          <w:rFonts w:ascii="Arial" w:hAnsi="Arial" w:cs="Arial"/>
          <w:sz w:val="22"/>
          <w:szCs w:val="22"/>
        </w:rPr>
        <w:t xml:space="preserve">of </w:t>
      </w:r>
      <w:r w:rsidRPr="00DE0A4D">
        <w:rPr>
          <w:rFonts w:ascii="Arial" w:hAnsi="Arial" w:cs="Arial"/>
          <w:sz w:val="22"/>
          <w:szCs w:val="22"/>
        </w:rPr>
        <w:t xml:space="preserve">January 1, 2008 </w:t>
      </w:r>
      <w:r>
        <w:rPr>
          <w:rFonts w:ascii="Arial" w:hAnsi="Arial" w:cs="Arial"/>
          <w:sz w:val="22"/>
          <w:szCs w:val="22"/>
        </w:rPr>
        <w:t>through</w:t>
      </w:r>
      <w:r w:rsidRPr="00DE0A4D">
        <w:rPr>
          <w:rFonts w:ascii="Arial" w:hAnsi="Arial" w:cs="Arial"/>
          <w:sz w:val="22"/>
          <w:szCs w:val="22"/>
        </w:rPr>
        <w:t xml:space="preserve"> December </w:t>
      </w:r>
      <w:r>
        <w:rPr>
          <w:rFonts w:ascii="Arial" w:hAnsi="Arial" w:cs="Arial"/>
          <w:sz w:val="22"/>
          <w:szCs w:val="22"/>
        </w:rPr>
        <w:t>3</w:t>
      </w:r>
      <w:r w:rsidRPr="00DE0A4D">
        <w:rPr>
          <w:rFonts w:ascii="Arial" w:hAnsi="Arial" w:cs="Arial"/>
          <w:sz w:val="22"/>
          <w:szCs w:val="22"/>
        </w:rPr>
        <w:t>1, 2008.</w:t>
      </w:r>
      <w:r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DE0A4D">
        <w:rPr>
          <w:rFonts w:ascii="Arial" w:hAnsi="Arial" w:cs="Arial"/>
          <w:sz w:val="22"/>
          <w:szCs w:val="22"/>
        </w:rPr>
        <w:t xml:space="preserve">  Approximately 13 percent </w:t>
      </w:r>
      <w:r>
        <w:rPr>
          <w:rFonts w:ascii="Arial" w:hAnsi="Arial" w:cs="Arial"/>
          <w:sz w:val="22"/>
          <w:szCs w:val="22"/>
        </w:rPr>
        <w:t xml:space="preserve">of all Form 5500 </w:t>
      </w:r>
      <w:r w:rsidR="005E0C96">
        <w:rPr>
          <w:rFonts w:ascii="Arial" w:hAnsi="Arial" w:cs="Arial"/>
          <w:sz w:val="22"/>
          <w:szCs w:val="22"/>
        </w:rPr>
        <w:t xml:space="preserve">filings found in the 2008 </w:t>
      </w:r>
      <w:r>
        <w:rPr>
          <w:rFonts w:ascii="Arial" w:hAnsi="Arial" w:cs="Arial"/>
          <w:sz w:val="22"/>
          <w:szCs w:val="22"/>
        </w:rPr>
        <w:t>data library</w:t>
      </w:r>
      <w:r w:rsidRPr="00DE0A4D">
        <w:rPr>
          <w:rFonts w:ascii="Arial" w:hAnsi="Arial" w:cs="Arial"/>
          <w:sz w:val="22"/>
          <w:szCs w:val="22"/>
        </w:rPr>
        <w:t xml:space="preserve"> are for </w:t>
      </w:r>
      <w:r>
        <w:rPr>
          <w:rFonts w:ascii="Arial" w:hAnsi="Arial" w:cs="Arial"/>
          <w:sz w:val="22"/>
          <w:szCs w:val="22"/>
        </w:rPr>
        <w:t xml:space="preserve">2008 </w:t>
      </w:r>
      <w:r w:rsidRPr="00DE0A4D">
        <w:rPr>
          <w:rFonts w:ascii="Arial" w:hAnsi="Arial" w:cs="Arial"/>
          <w:sz w:val="22"/>
          <w:szCs w:val="22"/>
        </w:rPr>
        <w:t xml:space="preserve">plans </w:t>
      </w:r>
      <w:r>
        <w:rPr>
          <w:rFonts w:ascii="Arial" w:hAnsi="Arial" w:cs="Arial"/>
          <w:sz w:val="22"/>
          <w:szCs w:val="22"/>
        </w:rPr>
        <w:t xml:space="preserve">whose </w:t>
      </w:r>
      <w:r w:rsidRPr="00DE0A4D">
        <w:rPr>
          <w:rFonts w:ascii="Arial" w:hAnsi="Arial" w:cs="Arial"/>
          <w:sz w:val="22"/>
          <w:szCs w:val="22"/>
        </w:rPr>
        <w:t xml:space="preserve">plan year </w:t>
      </w:r>
      <w:r>
        <w:rPr>
          <w:rFonts w:ascii="Arial" w:hAnsi="Arial" w:cs="Arial"/>
          <w:sz w:val="22"/>
          <w:szCs w:val="22"/>
        </w:rPr>
        <w:t>begins on or after January 2, 2008 and ends in 2009.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DE0A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 remaining</w:t>
      </w:r>
      <w:r w:rsidR="005E0C96">
        <w:rPr>
          <w:rFonts w:ascii="Arial" w:hAnsi="Arial" w:cs="Arial"/>
          <w:sz w:val="22"/>
          <w:szCs w:val="22"/>
        </w:rPr>
        <w:t xml:space="preserve"> filings in the 2008 </w:t>
      </w:r>
      <w:r>
        <w:rPr>
          <w:rFonts w:ascii="Arial" w:hAnsi="Arial" w:cs="Arial"/>
          <w:sz w:val="22"/>
          <w:szCs w:val="22"/>
        </w:rPr>
        <w:t>data library</w:t>
      </w:r>
      <w:r w:rsidRPr="00DE0A4D">
        <w:rPr>
          <w:rFonts w:ascii="Arial" w:hAnsi="Arial" w:cs="Arial"/>
          <w:sz w:val="22"/>
          <w:szCs w:val="22"/>
        </w:rPr>
        <w:t xml:space="preserve"> are for </w:t>
      </w:r>
      <w:r>
        <w:rPr>
          <w:rFonts w:ascii="Arial" w:hAnsi="Arial" w:cs="Arial"/>
          <w:sz w:val="22"/>
          <w:szCs w:val="22"/>
        </w:rPr>
        <w:t xml:space="preserve">2008 </w:t>
      </w:r>
      <w:r w:rsidRPr="00DE0A4D">
        <w:rPr>
          <w:rFonts w:ascii="Arial" w:hAnsi="Arial" w:cs="Arial"/>
          <w:sz w:val="22"/>
          <w:szCs w:val="22"/>
        </w:rPr>
        <w:t xml:space="preserve">plans </w:t>
      </w:r>
      <w:r>
        <w:rPr>
          <w:rFonts w:ascii="Arial" w:hAnsi="Arial" w:cs="Arial"/>
          <w:sz w:val="22"/>
          <w:szCs w:val="22"/>
        </w:rPr>
        <w:t>that base their plan year on the plan ending date, i.e.</w:t>
      </w:r>
      <w:r w:rsidR="004A3A6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their 2008 plan year beginning date is prior to January 1, 2008</w:t>
      </w:r>
      <w:r w:rsidRPr="00DE0A4D">
        <w:rPr>
          <w:rFonts w:ascii="Arial" w:hAnsi="Arial" w:cs="Arial"/>
          <w:sz w:val="22"/>
          <w:szCs w:val="22"/>
        </w:rPr>
        <w:t xml:space="preserve">.  </w:t>
      </w:r>
    </w:p>
    <w:p w:rsidR="001A1365" w:rsidRDefault="001A1365" w:rsidP="004349DD">
      <w:pPr>
        <w:rPr>
          <w:rFonts w:ascii="Arial" w:hAnsi="Arial" w:cs="Arial"/>
          <w:sz w:val="22"/>
          <w:szCs w:val="22"/>
        </w:rPr>
      </w:pPr>
    </w:p>
    <w:p w:rsidR="001A1365" w:rsidRPr="00DE0A4D" w:rsidRDefault="001A1365" w:rsidP="004349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After January 1, 2010, all </w:t>
      </w:r>
      <w:r w:rsidR="002406B1">
        <w:rPr>
          <w:rFonts w:ascii="Arial" w:hAnsi="Arial" w:cs="Arial"/>
          <w:sz w:val="22"/>
          <w:szCs w:val="22"/>
        </w:rPr>
        <w:t xml:space="preserve">Form 5500 </w:t>
      </w:r>
      <w:r>
        <w:rPr>
          <w:rFonts w:ascii="Arial" w:hAnsi="Arial" w:cs="Arial"/>
          <w:sz w:val="22"/>
          <w:szCs w:val="22"/>
        </w:rPr>
        <w:t xml:space="preserve">filings were submitted electronically through the EFAST2 processing effort.  Similar to EFAST, the Form 5500 filings are loaded to </w:t>
      </w:r>
      <w:r w:rsidR="005E0C9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database that is updated daily.  </w:t>
      </w:r>
      <w:r w:rsidR="00923200">
        <w:rPr>
          <w:rFonts w:ascii="Arial" w:hAnsi="Arial" w:cs="Arial"/>
          <w:sz w:val="22"/>
          <w:szCs w:val="22"/>
        </w:rPr>
        <w:t>However, the EFAST2 database is not divided into sets of data tables based on when the Form 5500 filings are processed.</w:t>
      </w:r>
    </w:p>
    <w:p w:rsidR="001A1365" w:rsidRPr="00DE0A4D" w:rsidRDefault="001A1365" w:rsidP="00F11B6D">
      <w:pPr>
        <w:rPr>
          <w:rFonts w:ascii="Arial" w:hAnsi="Arial" w:cs="Arial"/>
        </w:rPr>
      </w:pPr>
    </w:p>
    <w:p w:rsidR="001A1365" w:rsidRPr="00DE0A4D" w:rsidRDefault="001A1365" w:rsidP="00F11B6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Plan Selection for the </w:t>
      </w:r>
      <w:r>
        <w:rPr>
          <w:rFonts w:ascii="Arial" w:hAnsi="Arial" w:cs="Arial"/>
          <w:b/>
          <w:i/>
          <w:sz w:val="28"/>
          <w:szCs w:val="28"/>
        </w:rPr>
        <w:t>March</w:t>
      </w:r>
      <w:r w:rsidRPr="001F4FE0">
        <w:rPr>
          <w:rFonts w:ascii="Arial" w:hAnsi="Arial" w:cs="Arial"/>
          <w:b/>
          <w:i/>
          <w:sz w:val="28"/>
          <w:szCs w:val="28"/>
        </w:rPr>
        <w:t xml:space="preserve"> 2011 R</w:t>
      </w:r>
      <w:r>
        <w:rPr>
          <w:rFonts w:ascii="Arial" w:hAnsi="Arial" w:cs="Arial"/>
          <w:b/>
          <w:i/>
          <w:sz w:val="28"/>
          <w:szCs w:val="28"/>
        </w:rPr>
        <w:t>eport</w:t>
      </w:r>
    </w:p>
    <w:p w:rsidR="001A1365" w:rsidRPr="00CB3F6C" w:rsidRDefault="001A1365" w:rsidP="00544321">
      <w:pPr>
        <w:rPr>
          <w:rFonts w:ascii="Arial" w:hAnsi="Arial" w:cs="Arial"/>
          <w:b/>
        </w:rPr>
      </w:pPr>
    </w:p>
    <w:p w:rsidR="001A1365" w:rsidRDefault="001A1365" w:rsidP="002E19FA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In the interest of timely submission of the </w:t>
      </w:r>
      <w:r>
        <w:rPr>
          <w:rFonts w:ascii="Arial" w:hAnsi="Arial" w:cs="Arial"/>
          <w:i/>
          <w:sz w:val="22"/>
          <w:szCs w:val="22"/>
        </w:rPr>
        <w:t>2011 Self-Insured Group Health Plans Report to Congress</w:t>
      </w:r>
      <w:r w:rsidR="004A3A6D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 data underlying the </w:t>
      </w:r>
      <w:r>
        <w:rPr>
          <w:rFonts w:ascii="Arial" w:hAnsi="Arial" w:cs="Arial"/>
          <w:i/>
          <w:sz w:val="22"/>
          <w:szCs w:val="22"/>
        </w:rPr>
        <w:t>March 2011 Report</w:t>
      </w:r>
      <w:r>
        <w:rPr>
          <w:rFonts w:ascii="Arial" w:hAnsi="Arial" w:cs="Arial"/>
          <w:sz w:val="22"/>
          <w:szCs w:val="22"/>
        </w:rPr>
        <w:t xml:space="preserve"> included all Form 5500 health pla</w:t>
      </w:r>
      <w:r w:rsidR="005E0C96">
        <w:rPr>
          <w:rFonts w:ascii="Arial" w:hAnsi="Arial" w:cs="Arial"/>
          <w:sz w:val="22"/>
          <w:szCs w:val="22"/>
        </w:rPr>
        <w:t xml:space="preserve">n filings found in the 2008 </w:t>
      </w:r>
      <w:r>
        <w:rPr>
          <w:rFonts w:ascii="Arial" w:hAnsi="Arial" w:cs="Arial"/>
          <w:sz w:val="22"/>
          <w:szCs w:val="22"/>
        </w:rPr>
        <w:t xml:space="preserve">data tables.  </w:t>
      </w:r>
      <w:r w:rsidRPr="0046619E">
        <w:rPr>
          <w:rFonts w:ascii="Arial" w:hAnsi="Arial" w:cs="Arial"/>
          <w:sz w:val="22"/>
          <w:szCs w:val="22"/>
        </w:rPr>
        <w:t xml:space="preserve">Therefore, </w:t>
      </w:r>
      <w:r>
        <w:rPr>
          <w:rFonts w:ascii="Arial" w:hAnsi="Arial" w:cs="Arial"/>
          <w:sz w:val="22"/>
          <w:szCs w:val="22"/>
        </w:rPr>
        <w:t xml:space="preserve">as the majority of the plan filings are for calendar year plan years, EBSA </w:t>
      </w:r>
      <w:r w:rsidR="002406B1">
        <w:rPr>
          <w:rFonts w:ascii="Arial" w:hAnsi="Arial" w:cs="Arial"/>
          <w:sz w:val="22"/>
          <w:szCs w:val="22"/>
        </w:rPr>
        <w:t>re-</w:t>
      </w:r>
      <w:r>
        <w:rPr>
          <w:rFonts w:ascii="Arial" w:hAnsi="Arial" w:cs="Arial"/>
          <w:sz w:val="22"/>
          <w:szCs w:val="22"/>
        </w:rPr>
        <w:t xml:space="preserve">titled the report “Reflecting Calendar Year Filings.”  </w:t>
      </w:r>
    </w:p>
    <w:p w:rsidR="001A1365" w:rsidRDefault="001A1365" w:rsidP="002E19FA">
      <w:pPr>
        <w:rPr>
          <w:rFonts w:ascii="Arial" w:hAnsi="Arial" w:cs="Arial"/>
        </w:rPr>
      </w:pPr>
    </w:p>
    <w:p w:rsidR="001A1365" w:rsidRDefault="001A1365" w:rsidP="002E19FA">
      <w:pPr>
        <w:rPr>
          <w:rFonts w:ascii="Arial" w:hAnsi="Arial" w:cs="Arial"/>
        </w:rPr>
      </w:pPr>
    </w:p>
    <w:p w:rsidR="005E0C96" w:rsidRDefault="005E0C96" w:rsidP="002E19FA">
      <w:pPr>
        <w:rPr>
          <w:rFonts w:ascii="Arial" w:hAnsi="Arial" w:cs="Arial"/>
        </w:rPr>
      </w:pPr>
    </w:p>
    <w:p w:rsidR="001A1365" w:rsidRPr="001F4FE0" w:rsidRDefault="001A1365" w:rsidP="002E19FA">
      <w:pPr>
        <w:rPr>
          <w:rFonts w:ascii="Arial" w:hAnsi="Arial" w:cs="Arial"/>
          <w:b/>
          <w:sz w:val="28"/>
          <w:szCs w:val="28"/>
        </w:rPr>
      </w:pPr>
      <w:r w:rsidRPr="004810AB">
        <w:rPr>
          <w:rFonts w:ascii="Arial" w:hAnsi="Arial" w:cs="Arial"/>
          <w:b/>
          <w:sz w:val="28"/>
          <w:szCs w:val="28"/>
        </w:rPr>
        <w:t xml:space="preserve">Plan Selection for </w:t>
      </w:r>
      <w:r>
        <w:rPr>
          <w:rFonts w:ascii="Arial" w:hAnsi="Arial" w:cs="Arial"/>
          <w:b/>
          <w:sz w:val="28"/>
          <w:szCs w:val="28"/>
        </w:rPr>
        <w:t xml:space="preserve">the </w:t>
      </w:r>
      <w:r>
        <w:rPr>
          <w:rFonts w:ascii="Arial" w:hAnsi="Arial" w:cs="Arial"/>
          <w:b/>
          <w:i/>
          <w:sz w:val="28"/>
          <w:szCs w:val="28"/>
        </w:rPr>
        <w:t>March 2012 Report</w:t>
      </w:r>
    </w:p>
    <w:p w:rsidR="001A1365" w:rsidRPr="00CB3F6C" w:rsidRDefault="001A1365" w:rsidP="002E19FA">
      <w:pPr>
        <w:rPr>
          <w:rFonts w:ascii="Arial" w:hAnsi="Arial" w:cs="Arial"/>
        </w:rPr>
      </w:pPr>
    </w:p>
    <w:p w:rsidR="001A1365" w:rsidRDefault="001A1365" w:rsidP="002E19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EBSA</w:t>
      </w:r>
      <w:r w:rsidRPr="00DE0A4D">
        <w:rPr>
          <w:rFonts w:ascii="Arial" w:hAnsi="Arial" w:cs="Arial"/>
          <w:sz w:val="22"/>
          <w:szCs w:val="22"/>
        </w:rPr>
        <w:t xml:space="preserve"> decided to harmonize the plan year </w:t>
      </w:r>
      <w:r>
        <w:rPr>
          <w:rFonts w:ascii="Arial" w:hAnsi="Arial" w:cs="Arial"/>
          <w:sz w:val="22"/>
          <w:szCs w:val="22"/>
        </w:rPr>
        <w:t>definition</w:t>
      </w:r>
      <w:r w:rsidRPr="00DE0A4D">
        <w:rPr>
          <w:rFonts w:ascii="Arial" w:hAnsi="Arial" w:cs="Arial"/>
          <w:sz w:val="22"/>
          <w:szCs w:val="22"/>
        </w:rPr>
        <w:t xml:space="preserve"> for the </w:t>
      </w:r>
      <w:r w:rsidRPr="00DE0A4D">
        <w:rPr>
          <w:rFonts w:ascii="Arial" w:hAnsi="Arial" w:cs="Arial"/>
          <w:i/>
          <w:sz w:val="22"/>
          <w:szCs w:val="22"/>
        </w:rPr>
        <w:t>Group Health Plans Report</w:t>
      </w:r>
      <w:r w:rsidRPr="00DE0A4D">
        <w:rPr>
          <w:rFonts w:ascii="Arial" w:hAnsi="Arial" w:cs="Arial"/>
          <w:sz w:val="22"/>
          <w:szCs w:val="22"/>
        </w:rPr>
        <w:t xml:space="preserve"> with the</w:t>
      </w:r>
      <w:r>
        <w:rPr>
          <w:rFonts w:ascii="Arial" w:hAnsi="Arial" w:cs="Arial"/>
          <w:sz w:val="22"/>
          <w:szCs w:val="22"/>
        </w:rPr>
        <w:t xml:space="preserve"> definition</w:t>
      </w:r>
      <w:r w:rsidRPr="00DE0A4D">
        <w:rPr>
          <w:rFonts w:ascii="Arial" w:hAnsi="Arial" w:cs="Arial"/>
          <w:sz w:val="22"/>
          <w:szCs w:val="22"/>
        </w:rPr>
        <w:t xml:space="preserve"> underlying the </w:t>
      </w:r>
      <w:r w:rsidRPr="00DE0A4D">
        <w:rPr>
          <w:rFonts w:ascii="Arial" w:hAnsi="Arial" w:cs="Arial"/>
          <w:i/>
          <w:sz w:val="22"/>
          <w:szCs w:val="22"/>
        </w:rPr>
        <w:t>Form 5500 Private Pension Plan Research File</w:t>
      </w:r>
      <w:r w:rsidRPr="00DE0A4D">
        <w:rPr>
          <w:rFonts w:ascii="Arial" w:hAnsi="Arial" w:cs="Arial"/>
          <w:sz w:val="22"/>
          <w:szCs w:val="22"/>
        </w:rPr>
        <w:t xml:space="preserve"> used to produce the </w:t>
      </w:r>
      <w:r w:rsidRPr="00DE0A4D">
        <w:rPr>
          <w:rFonts w:ascii="Arial" w:hAnsi="Arial" w:cs="Arial"/>
          <w:i/>
          <w:sz w:val="22"/>
          <w:szCs w:val="22"/>
        </w:rPr>
        <w:t>Private Pension Plan Bulletin Abstracts</w:t>
      </w:r>
      <w:r w:rsidRPr="00DE0A4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For purposes of the </w:t>
      </w:r>
      <w:r>
        <w:rPr>
          <w:rFonts w:ascii="Arial" w:hAnsi="Arial" w:cs="Arial"/>
          <w:i/>
          <w:sz w:val="22"/>
          <w:szCs w:val="22"/>
        </w:rPr>
        <w:t>Form 5500 Private Pension Plan Research File</w:t>
      </w:r>
      <w:r w:rsidR="00543B8A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EBSA defines a </w:t>
      </w:r>
      <w:r w:rsidR="00543B8A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statistical year</w:t>
      </w:r>
      <w:r w:rsidR="00543B8A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Form 5500 filing population as all Form 5500 employee benefit plan filings with a plan year </w:t>
      </w:r>
      <w:r w:rsidRPr="002406B1">
        <w:rPr>
          <w:rFonts w:ascii="Arial" w:hAnsi="Arial" w:cs="Arial"/>
          <w:b/>
          <w:i/>
          <w:sz w:val="22"/>
          <w:szCs w:val="22"/>
        </w:rPr>
        <w:t>ending</w:t>
      </w:r>
      <w:r>
        <w:rPr>
          <w:rFonts w:ascii="Arial" w:hAnsi="Arial" w:cs="Arial"/>
          <w:sz w:val="22"/>
          <w:szCs w:val="22"/>
        </w:rPr>
        <w:t xml:space="preserve"> date between January 1 and December 31 of the given year.</w:t>
      </w:r>
      <w:r w:rsidRPr="00DE0A4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As a result</w:t>
      </w:r>
      <w:r w:rsidRPr="00DE0A4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the data underlying the </w:t>
      </w:r>
      <w:r>
        <w:rPr>
          <w:rFonts w:ascii="Arial" w:hAnsi="Arial" w:cs="Arial"/>
          <w:i/>
          <w:sz w:val="22"/>
          <w:szCs w:val="22"/>
        </w:rPr>
        <w:t>March 2012 Report</w:t>
      </w:r>
      <w:r>
        <w:rPr>
          <w:rFonts w:ascii="Arial" w:hAnsi="Arial" w:cs="Arial"/>
          <w:sz w:val="22"/>
          <w:szCs w:val="22"/>
        </w:rPr>
        <w:t xml:space="preserve"> includes Form 5500 health plan filings </w:t>
      </w:r>
      <w:r w:rsidRPr="00DE0A4D">
        <w:rPr>
          <w:rFonts w:ascii="Arial" w:hAnsi="Arial" w:cs="Arial"/>
          <w:sz w:val="22"/>
          <w:szCs w:val="22"/>
        </w:rPr>
        <w:t>that report</w:t>
      </w:r>
      <w:r>
        <w:rPr>
          <w:rFonts w:ascii="Arial" w:hAnsi="Arial" w:cs="Arial"/>
          <w:sz w:val="22"/>
          <w:szCs w:val="22"/>
        </w:rPr>
        <w:t>ed a</w:t>
      </w:r>
      <w:r w:rsidRPr="00DE0A4D">
        <w:rPr>
          <w:rFonts w:ascii="Arial" w:hAnsi="Arial" w:cs="Arial"/>
          <w:sz w:val="22"/>
          <w:szCs w:val="22"/>
        </w:rPr>
        <w:t xml:space="preserve"> plan year ending date </w:t>
      </w:r>
      <w:r>
        <w:rPr>
          <w:rFonts w:ascii="Arial" w:hAnsi="Arial" w:cs="Arial"/>
          <w:sz w:val="22"/>
          <w:szCs w:val="22"/>
        </w:rPr>
        <w:t>between January 1, 2009 and December 31, 2009</w:t>
      </w:r>
      <w:r w:rsidRPr="00DE0A4D">
        <w:rPr>
          <w:rFonts w:ascii="Arial" w:hAnsi="Arial" w:cs="Arial"/>
          <w:sz w:val="22"/>
          <w:szCs w:val="22"/>
        </w:rPr>
        <w:t xml:space="preserve">.  </w:t>
      </w:r>
    </w:p>
    <w:p w:rsidR="001A1365" w:rsidRPr="00DE0A4D" w:rsidRDefault="001A1365" w:rsidP="002E19FA">
      <w:pPr>
        <w:rPr>
          <w:rFonts w:ascii="Arial" w:hAnsi="Arial" w:cs="Arial"/>
        </w:rPr>
      </w:pPr>
    </w:p>
    <w:p w:rsidR="001A1365" w:rsidRPr="00DE0A4D" w:rsidRDefault="001A1365" w:rsidP="002E19FA">
      <w:pPr>
        <w:rPr>
          <w:rFonts w:ascii="Arial" w:hAnsi="Arial" w:cs="Arial"/>
          <w:b/>
          <w:sz w:val="28"/>
          <w:szCs w:val="28"/>
        </w:rPr>
      </w:pPr>
      <w:r w:rsidRPr="00DE0A4D">
        <w:rPr>
          <w:rFonts w:ascii="Arial" w:hAnsi="Arial" w:cs="Arial"/>
          <w:b/>
          <w:sz w:val="28"/>
          <w:szCs w:val="28"/>
        </w:rPr>
        <w:t>Terminating Plans</w:t>
      </w:r>
    </w:p>
    <w:p w:rsidR="001A1365" w:rsidRPr="00DE0A4D" w:rsidRDefault="001A1365" w:rsidP="002E19FA">
      <w:pPr>
        <w:rPr>
          <w:rFonts w:ascii="Arial" w:hAnsi="Arial" w:cs="Arial"/>
        </w:rPr>
      </w:pPr>
    </w:p>
    <w:p w:rsidR="001A1365" w:rsidRPr="00DE0A4D" w:rsidRDefault="001A1365" w:rsidP="002E19FA">
      <w:p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 xml:space="preserve">For purposes of the </w:t>
      </w:r>
      <w:r w:rsidRPr="00DE0A4D">
        <w:rPr>
          <w:rFonts w:ascii="Arial" w:hAnsi="Arial" w:cs="Arial"/>
          <w:i/>
          <w:sz w:val="22"/>
          <w:szCs w:val="22"/>
        </w:rPr>
        <w:t>March 2011 Report</w:t>
      </w:r>
      <w:r w:rsidRPr="00DE0A4D">
        <w:rPr>
          <w:rFonts w:ascii="Arial" w:hAnsi="Arial" w:cs="Arial"/>
          <w:sz w:val="22"/>
          <w:szCs w:val="22"/>
        </w:rPr>
        <w:t xml:space="preserve">, certain </w:t>
      </w:r>
      <w:r>
        <w:rPr>
          <w:rFonts w:ascii="Arial" w:hAnsi="Arial" w:cs="Arial"/>
          <w:sz w:val="22"/>
          <w:szCs w:val="22"/>
        </w:rPr>
        <w:t xml:space="preserve">Form 5500 </w:t>
      </w:r>
      <w:r w:rsidRPr="00DE0A4D">
        <w:rPr>
          <w:rFonts w:ascii="Arial" w:hAnsi="Arial" w:cs="Arial"/>
          <w:sz w:val="22"/>
          <w:szCs w:val="22"/>
        </w:rPr>
        <w:t xml:space="preserve">plan filings were </w:t>
      </w:r>
      <w:r w:rsidRPr="001E6475">
        <w:rPr>
          <w:rFonts w:ascii="Arial" w:hAnsi="Arial" w:cs="Arial"/>
          <w:i/>
          <w:sz w:val="22"/>
          <w:szCs w:val="22"/>
          <w:u w:val="single"/>
        </w:rPr>
        <w:t>excluded</w:t>
      </w:r>
      <w:r w:rsidRPr="00DE0A4D">
        <w:rPr>
          <w:rFonts w:ascii="Arial" w:hAnsi="Arial" w:cs="Arial"/>
          <w:sz w:val="22"/>
          <w:szCs w:val="22"/>
        </w:rPr>
        <w:t xml:space="preserve"> from the analysis:</w:t>
      </w:r>
    </w:p>
    <w:p w:rsidR="001A1365" w:rsidRPr="00DE0A4D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Terminated plans (“the final return/report,” Part I, B of Form 5500),</w:t>
      </w:r>
    </w:p>
    <w:p w:rsidR="001A1365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No participants (“Subtotal,” Part II, Item 6d of Form 5500),</w:t>
      </w:r>
    </w:p>
    <w:p w:rsidR="001A1365" w:rsidRPr="008D5388" w:rsidRDefault="001A1365" w:rsidP="008D538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Plans with a terminated trust (“Has a resolution to terminate the plan been adopted during the plan year or any prior plan year?  Yes,” Part IV, 5a of Schedule H and Part II, 5a of Schedule I),</w:t>
      </w:r>
    </w:p>
    <w:p w:rsidR="001A1365" w:rsidRPr="00DE0A4D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DFEs (“This return/report is for a DFE (specify),” Part I, A of Form 5500),</w:t>
      </w:r>
    </w:p>
    <w:p w:rsidR="001A1365" w:rsidRPr="00DE0A4D" w:rsidRDefault="00B137D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“Voluntary”</w:t>
      </w:r>
      <w:r w:rsidR="001A1365" w:rsidRPr="00DE0A4D">
        <w:rPr>
          <w:rFonts w:ascii="Arial" w:hAnsi="Arial" w:cs="Arial"/>
          <w:sz w:val="22"/>
          <w:szCs w:val="22"/>
        </w:rPr>
        <w:t xml:space="preserve"> filing plans (plans which are not required to file the Form 5500), and </w:t>
      </w:r>
    </w:p>
    <w:p w:rsidR="001A1365" w:rsidRPr="00DE0A4D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Du</w:t>
      </w:r>
      <w:r w:rsidR="00543B8A">
        <w:rPr>
          <w:rFonts w:ascii="Arial" w:hAnsi="Arial" w:cs="Arial"/>
          <w:sz w:val="22"/>
          <w:szCs w:val="22"/>
        </w:rPr>
        <w:t>plicate filings (only the “best”</w:t>
      </w:r>
      <w:r w:rsidRPr="00DE0A4D">
        <w:rPr>
          <w:rFonts w:ascii="Arial" w:hAnsi="Arial" w:cs="Arial"/>
          <w:sz w:val="22"/>
          <w:szCs w:val="22"/>
        </w:rPr>
        <w:t xml:space="preserve"> filing is retained).</w:t>
      </w:r>
    </w:p>
    <w:p w:rsidR="001A1365" w:rsidRPr="00DE0A4D" w:rsidRDefault="001A1365" w:rsidP="00F43D28">
      <w:pPr>
        <w:rPr>
          <w:rFonts w:ascii="Arial" w:hAnsi="Arial" w:cs="Arial"/>
          <w:sz w:val="22"/>
          <w:szCs w:val="22"/>
        </w:rPr>
      </w:pPr>
    </w:p>
    <w:p w:rsidR="001A1365" w:rsidRPr="00DE0A4D" w:rsidRDefault="001A1365" w:rsidP="00F43D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For</w:t>
      </w:r>
      <w:r w:rsidRPr="00DE0A4D"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i/>
          <w:sz w:val="22"/>
          <w:szCs w:val="22"/>
        </w:rPr>
        <w:t>March 2012</w:t>
      </w:r>
      <w:r w:rsidRPr="00DE0A4D">
        <w:rPr>
          <w:rFonts w:ascii="Arial" w:hAnsi="Arial" w:cs="Arial"/>
          <w:i/>
          <w:sz w:val="22"/>
          <w:szCs w:val="22"/>
        </w:rPr>
        <w:t xml:space="preserve"> Report</w:t>
      </w:r>
      <w:r w:rsidRPr="00DE0A4D">
        <w:rPr>
          <w:rFonts w:ascii="Arial" w:hAnsi="Arial" w:cs="Arial"/>
          <w:sz w:val="22"/>
          <w:szCs w:val="22"/>
        </w:rPr>
        <w:t xml:space="preserve">, the following </w:t>
      </w:r>
      <w:r>
        <w:rPr>
          <w:rFonts w:ascii="Arial" w:hAnsi="Arial" w:cs="Arial"/>
          <w:sz w:val="22"/>
          <w:szCs w:val="22"/>
        </w:rPr>
        <w:t xml:space="preserve">Form 5500 </w:t>
      </w:r>
      <w:r w:rsidRPr="00DE0A4D">
        <w:rPr>
          <w:rFonts w:ascii="Arial" w:hAnsi="Arial" w:cs="Arial"/>
          <w:sz w:val="22"/>
          <w:szCs w:val="22"/>
        </w:rPr>
        <w:t xml:space="preserve">plan filings are </w:t>
      </w:r>
      <w:r w:rsidRPr="001E6475">
        <w:rPr>
          <w:rFonts w:ascii="Arial" w:hAnsi="Arial" w:cs="Arial"/>
          <w:i/>
          <w:sz w:val="22"/>
          <w:szCs w:val="22"/>
          <w:u w:val="single"/>
        </w:rPr>
        <w:t xml:space="preserve">no longer excluded </w:t>
      </w:r>
      <w:r w:rsidRPr="00DE0A4D">
        <w:rPr>
          <w:rFonts w:ascii="Arial" w:hAnsi="Arial" w:cs="Arial"/>
          <w:sz w:val="22"/>
          <w:szCs w:val="22"/>
        </w:rPr>
        <w:t>from the analysis:</w:t>
      </w:r>
    </w:p>
    <w:p w:rsidR="001A1365" w:rsidRPr="00DE0A4D" w:rsidRDefault="001A1365" w:rsidP="00F43D28">
      <w:pPr>
        <w:rPr>
          <w:rFonts w:ascii="Arial" w:hAnsi="Arial" w:cs="Arial"/>
          <w:sz w:val="22"/>
          <w:szCs w:val="22"/>
        </w:rPr>
      </w:pPr>
    </w:p>
    <w:p w:rsidR="001A1365" w:rsidRPr="00DE0A4D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Terminated plans (“the final return/report,” Part I, B of Form 5500),</w:t>
      </w:r>
    </w:p>
    <w:p w:rsidR="001A1365" w:rsidRPr="00DE0A4D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 xml:space="preserve">No participants (“Subtotal,” Part II, Item 6d of Form 5500), and </w:t>
      </w:r>
    </w:p>
    <w:p w:rsidR="001A1365" w:rsidRDefault="001A1365" w:rsidP="00F43D28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E0A4D">
        <w:rPr>
          <w:rFonts w:ascii="Arial" w:hAnsi="Arial" w:cs="Arial"/>
          <w:sz w:val="22"/>
          <w:szCs w:val="22"/>
        </w:rPr>
        <w:t>Plan with a terminated trust (“Has a resolution to terminate the plan been adopted during the plan year or any prior plan year?  Yes,” Part IV, 5a of Schedule H and Part II, 5a of Schedule I).</w:t>
      </w:r>
    </w:p>
    <w:p w:rsidR="001A1365" w:rsidRDefault="001A1365" w:rsidP="00A35228">
      <w:pPr>
        <w:rPr>
          <w:rFonts w:ascii="Arial" w:hAnsi="Arial" w:cs="Arial"/>
          <w:sz w:val="22"/>
          <w:szCs w:val="22"/>
        </w:rPr>
      </w:pPr>
    </w:p>
    <w:p w:rsidR="001A1365" w:rsidRDefault="001A1365" w:rsidP="00A3522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Table 1 Form 5500 Plan Selection</w:t>
      </w:r>
    </w:p>
    <w:p w:rsidR="005E0C96" w:rsidRDefault="005E0C96" w:rsidP="00A352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9"/>
        <w:gridCol w:w="1529"/>
        <w:gridCol w:w="1548"/>
      </w:tblGrid>
      <w:tr w:rsidR="001A1365" w:rsidTr="002B7EDB">
        <w:tc>
          <w:tcPr>
            <w:tcW w:w="3259" w:type="dxa"/>
            <w:tcBorders>
              <w:bottom w:val="single" w:sz="12" w:space="0" w:color="auto"/>
            </w:tcBorders>
            <w:vAlign w:val="center"/>
          </w:tcPr>
          <w:p w:rsidR="001A1365" w:rsidRPr="002B7EDB" w:rsidRDefault="001A1365" w:rsidP="00A35228">
            <w:pPr>
              <w:rPr>
                <w:rFonts w:ascii="Arial" w:hAnsi="Arial" w:cs="Arial"/>
                <w:b/>
              </w:rPr>
            </w:pPr>
            <w:r w:rsidRPr="002B7EDB">
              <w:rPr>
                <w:rFonts w:ascii="Arial" w:hAnsi="Arial" w:cs="Arial"/>
                <w:b/>
                <w:sz w:val="22"/>
                <w:szCs w:val="22"/>
              </w:rPr>
              <w:t>Type of Plan Filing</w:t>
            </w: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:rsidR="001A1365" w:rsidRPr="002B7EDB" w:rsidRDefault="001A1365" w:rsidP="00A35228">
            <w:pPr>
              <w:rPr>
                <w:rFonts w:ascii="Arial" w:hAnsi="Arial" w:cs="Arial"/>
                <w:b/>
              </w:rPr>
            </w:pPr>
            <w:r w:rsidRPr="002B7EDB">
              <w:rPr>
                <w:rFonts w:ascii="Arial" w:hAnsi="Arial" w:cs="Arial"/>
                <w:b/>
                <w:sz w:val="22"/>
                <w:szCs w:val="22"/>
              </w:rPr>
              <w:t>Included in March 2011 Report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1A1365" w:rsidRPr="002B7EDB" w:rsidRDefault="001A1365" w:rsidP="0061049D">
            <w:pPr>
              <w:rPr>
                <w:rFonts w:ascii="Arial" w:hAnsi="Arial" w:cs="Arial"/>
                <w:b/>
              </w:rPr>
            </w:pPr>
            <w:r w:rsidRPr="002B7EDB">
              <w:rPr>
                <w:rFonts w:ascii="Arial" w:hAnsi="Arial" w:cs="Arial"/>
                <w:b/>
                <w:sz w:val="22"/>
                <w:szCs w:val="22"/>
              </w:rPr>
              <w:t>Included in March 2012 Report</w:t>
            </w:r>
          </w:p>
        </w:tc>
      </w:tr>
      <w:tr w:rsidR="001A1365" w:rsidTr="002B7EDB">
        <w:tc>
          <w:tcPr>
            <w:tcW w:w="3259" w:type="dxa"/>
            <w:tcBorders>
              <w:top w:val="single" w:sz="12" w:space="0" w:color="auto"/>
            </w:tcBorders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Terminated plans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1A1365" w:rsidTr="002B7EDB">
        <w:tc>
          <w:tcPr>
            <w:tcW w:w="3259" w:type="dxa"/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 participants</w:t>
            </w:r>
          </w:p>
        </w:tc>
        <w:tc>
          <w:tcPr>
            <w:tcW w:w="1529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1A1365" w:rsidTr="002B7EDB">
        <w:tc>
          <w:tcPr>
            <w:tcW w:w="3259" w:type="dxa"/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Plans with a terminated trust</w:t>
            </w:r>
          </w:p>
        </w:tc>
        <w:tc>
          <w:tcPr>
            <w:tcW w:w="1529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1A1365" w:rsidTr="002B7EDB">
        <w:tc>
          <w:tcPr>
            <w:tcW w:w="3259" w:type="dxa"/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DFEs</w:t>
            </w:r>
          </w:p>
        </w:tc>
        <w:tc>
          <w:tcPr>
            <w:tcW w:w="1529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1A1365" w:rsidTr="002B7EDB">
        <w:tc>
          <w:tcPr>
            <w:tcW w:w="3259" w:type="dxa"/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‘Voluntary’ filing plans</w:t>
            </w:r>
          </w:p>
        </w:tc>
        <w:tc>
          <w:tcPr>
            <w:tcW w:w="1529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1A1365" w:rsidTr="002B7EDB">
        <w:tc>
          <w:tcPr>
            <w:tcW w:w="3259" w:type="dxa"/>
          </w:tcPr>
          <w:p w:rsidR="001A1365" w:rsidRPr="002B7EDB" w:rsidRDefault="001A1365" w:rsidP="000548C1">
            <w:pPr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Duplicate filings</w:t>
            </w:r>
          </w:p>
        </w:tc>
        <w:tc>
          <w:tcPr>
            <w:tcW w:w="1529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48" w:type="dxa"/>
            <w:vAlign w:val="center"/>
          </w:tcPr>
          <w:p w:rsidR="001A1365" w:rsidRPr="002B7EDB" w:rsidRDefault="001A1365" w:rsidP="002B7EDB">
            <w:pPr>
              <w:jc w:val="center"/>
              <w:rPr>
                <w:rFonts w:ascii="Arial" w:hAnsi="Arial" w:cs="Arial"/>
              </w:rPr>
            </w:pPr>
            <w:r w:rsidRPr="002B7EDB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</w:tbl>
    <w:p w:rsidR="001A1365" w:rsidRPr="00DE0A4D" w:rsidRDefault="001A1365" w:rsidP="00EC656E">
      <w:pPr>
        <w:rPr>
          <w:rFonts w:ascii="Arial" w:hAnsi="Arial" w:cs="Arial"/>
        </w:rPr>
      </w:pPr>
    </w:p>
    <w:sectPr w:rsidR="001A1365" w:rsidRPr="00DE0A4D" w:rsidSect="004D12CA">
      <w:footerReference w:type="even" r:id="rId7"/>
      <w:pgSz w:w="15840" w:h="12240" w:orient="landscape" w:code="1"/>
      <w:pgMar w:top="1800" w:right="1267" w:bottom="1800" w:left="1440" w:header="720" w:footer="720" w:gutter="0"/>
      <w:cols w:num="2"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993" w:rsidRDefault="006E5993">
      <w:r>
        <w:separator/>
      </w:r>
    </w:p>
  </w:endnote>
  <w:endnote w:type="continuationSeparator" w:id="0">
    <w:p w:rsidR="006E5993" w:rsidRDefault="006E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365" w:rsidRDefault="001A1365" w:rsidP="007D75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1365" w:rsidRDefault="001A13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993" w:rsidRDefault="006E5993">
      <w:r>
        <w:separator/>
      </w:r>
    </w:p>
  </w:footnote>
  <w:footnote w:type="continuationSeparator" w:id="0">
    <w:p w:rsidR="006E5993" w:rsidRDefault="006E5993">
      <w:r>
        <w:continuationSeparator/>
      </w:r>
    </w:p>
  </w:footnote>
  <w:footnote w:id="1">
    <w:p w:rsidR="001A1365" w:rsidRPr="00756FB1" w:rsidRDefault="001A1365">
      <w:pPr>
        <w:pStyle w:val="FootnoteText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56FB1">
        <w:rPr>
          <w:rFonts w:ascii="Arial" w:hAnsi="Arial" w:cs="Arial"/>
          <w:sz w:val="18"/>
          <w:szCs w:val="18"/>
        </w:rPr>
        <w:t>These plans have ‘plan years’ based on the calendar year, January to December.</w:t>
      </w:r>
    </w:p>
  </w:footnote>
  <w:footnote w:id="2">
    <w:p w:rsidR="001A1365" w:rsidRPr="00756FB1" w:rsidRDefault="001A1365">
      <w:pPr>
        <w:pStyle w:val="FootnoteText"/>
        <w:rPr>
          <w:rFonts w:ascii="Arial" w:hAnsi="Arial" w:cs="Arial"/>
          <w:sz w:val="18"/>
          <w:szCs w:val="18"/>
        </w:rPr>
      </w:pPr>
      <w:r w:rsidRPr="00756FB1">
        <w:rPr>
          <w:rStyle w:val="FootnoteReference"/>
          <w:rFonts w:ascii="Arial" w:hAnsi="Arial" w:cs="Arial"/>
          <w:sz w:val="18"/>
          <w:szCs w:val="18"/>
        </w:rPr>
        <w:footnoteRef/>
      </w:r>
      <w:r w:rsidR="004A3A6D" w:rsidRPr="00756FB1">
        <w:rPr>
          <w:rFonts w:ascii="Arial" w:hAnsi="Arial" w:cs="Arial"/>
          <w:sz w:val="18"/>
          <w:szCs w:val="18"/>
        </w:rPr>
        <w:t xml:space="preserve"> These plans have “</w:t>
      </w:r>
      <w:r w:rsidRPr="00756FB1">
        <w:rPr>
          <w:rFonts w:ascii="Arial" w:hAnsi="Arial" w:cs="Arial"/>
          <w:sz w:val="18"/>
          <w:szCs w:val="18"/>
        </w:rPr>
        <w:t>plan years</w:t>
      </w:r>
      <w:r w:rsidR="004A3A6D" w:rsidRPr="00756FB1">
        <w:rPr>
          <w:rFonts w:ascii="Arial" w:hAnsi="Arial" w:cs="Arial"/>
          <w:sz w:val="18"/>
          <w:szCs w:val="18"/>
        </w:rPr>
        <w:t>”</w:t>
      </w:r>
      <w:r w:rsidRPr="00756FB1">
        <w:rPr>
          <w:rFonts w:ascii="Arial" w:hAnsi="Arial" w:cs="Arial"/>
          <w:sz w:val="18"/>
          <w:szCs w:val="18"/>
        </w:rPr>
        <w:t xml:space="preserve"> that are not base</w:t>
      </w:r>
      <w:r w:rsidR="004A3A6D" w:rsidRPr="00756FB1">
        <w:rPr>
          <w:rFonts w:ascii="Arial" w:hAnsi="Arial" w:cs="Arial"/>
          <w:sz w:val="18"/>
          <w:szCs w:val="18"/>
        </w:rPr>
        <w:t>d on the calendar year and their “plan year”</w:t>
      </w:r>
      <w:r w:rsidRPr="00756FB1">
        <w:rPr>
          <w:rFonts w:ascii="Arial" w:hAnsi="Arial" w:cs="Arial"/>
          <w:sz w:val="18"/>
          <w:szCs w:val="18"/>
        </w:rPr>
        <w:t xml:space="preserve"> i.e.</w:t>
      </w:r>
      <w:r w:rsidR="004A3A6D" w:rsidRPr="00756FB1">
        <w:rPr>
          <w:rFonts w:ascii="Arial" w:hAnsi="Arial" w:cs="Arial"/>
          <w:sz w:val="18"/>
          <w:szCs w:val="18"/>
        </w:rPr>
        <w:t>, 2008, is</w:t>
      </w:r>
      <w:r w:rsidRPr="00756FB1">
        <w:rPr>
          <w:rFonts w:ascii="Arial" w:hAnsi="Arial" w:cs="Arial"/>
          <w:sz w:val="18"/>
          <w:szCs w:val="18"/>
        </w:rPr>
        <w:t xml:space="preserve"> based on the year </w:t>
      </w:r>
      <w:r w:rsidR="004A3A6D" w:rsidRPr="00756FB1">
        <w:rPr>
          <w:rFonts w:ascii="Arial" w:hAnsi="Arial" w:cs="Arial"/>
          <w:sz w:val="18"/>
          <w:szCs w:val="18"/>
        </w:rPr>
        <w:t>in which the plan year begins, f</w:t>
      </w:r>
      <w:r w:rsidRPr="00756FB1">
        <w:rPr>
          <w:rFonts w:ascii="Arial" w:hAnsi="Arial" w:cs="Arial"/>
          <w:sz w:val="18"/>
          <w:szCs w:val="18"/>
        </w:rPr>
        <w:t xml:space="preserve">or </w:t>
      </w:r>
      <w:r w:rsidR="004A3A6D" w:rsidRPr="00756FB1">
        <w:rPr>
          <w:rFonts w:ascii="Arial" w:hAnsi="Arial" w:cs="Arial"/>
          <w:sz w:val="18"/>
          <w:szCs w:val="18"/>
        </w:rPr>
        <w:t>instance a plan which sets its “</w:t>
      </w:r>
      <w:r w:rsidRPr="00756FB1">
        <w:rPr>
          <w:rFonts w:ascii="Arial" w:hAnsi="Arial" w:cs="Arial"/>
          <w:sz w:val="18"/>
          <w:szCs w:val="18"/>
        </w:rPr>
        <w:t>plan year</w:t>
      </w:r>
      <w:r w:rsidR="004A3A6D" w:rsidRPr="00756FB1">
        <w:rPr>
          <w:rFonts w:ascii="Arial" w:hAnsi="Arial" w:cs="Arial"/>
          <w:sz w:val="18"/>
          <w:szCs w:val="18"/>
        </w:rPr>
        <w:t>”</w:t>
      </w:r>
      <w:r w:rsidRPr="00756FB1">
        <w:rPr>
          <w:rFonts w:ascii="Arial" w:hAnsi="Arial" w:cs="Arial"/>
          <w:sz w:val="18"/>
          <w:szCs w:val="18"/>
        </w:rPr>
        <w:t xml:space="preserve"> based on its plan inception date.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32A16"/>
    <w:multiLevelType w:val="hybridMultilevel"/>
    <w:tmpl w:val="A98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7CE2"/>
    <w:multiLevelType w:val="hybridMultilevel"/>
    <w:tmpl w:val="DDC8EABE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CA33B9"/>
    <w:multiLevelType w:val="hybridMultilevel"/>
    <w:tmpl w:val="EA1277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349563D"/>
    <w:multiLevelType w:val="hybridMultilevel"/>
    <w:tmpl w:val="3282F944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49521D1"/>
    <w:multiLevelType w:val="multilevel"/>
    <w:tmpl w:val="59CA02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E32AE4"/>
    <w:multiLevelType w:val="multilevel"/>
    <w:tmpl w:val="8390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ED86ADB"/>
    <w:multiLevelType w:val="hybridMultilevel"/>
    <w:tmpl w:val="2C40F11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8C"/>
    <w:rsid w:val="00000601"/>
    <w:rsid w:val="00033A50"/>
    <w:rsid w:val="000367F1"/>
    <w:rsid w:val="000548C1"/>
    <w:rsid w:val="000576E0"/>
    <w:rsid w:val="00075497"/>
    <w:rsid w:val="00086058"/>
    <w:rsid w:val="000A0E86"/>
    <w:rsid w:val="000C40F2"/>
    <w:rsid w:val="000D1274"/>
    <w:rsid w:val="000D4F5D"/>
    <w:rsid w:val="000F0596"/>
    <w:rsid w:val="00114C6C"/>
    <w:rsid w:val="00126447"/>
    <w:rsid w:val="0014615C"/>
    <w:rsid w:val="0016087A"/>
    <w:rsid w:val="001627F6"/>
    <w:rsid w:val="00191D93"/>
    <w:rsid w:val="001945D0"/>
    <w:rsid w:val="00194CFF"/>
    <w:rsid w:val="001A1365"/>
    <w:rsid w:val="001A24FE"/>
    <w:rsid w:val="001B0265"/>
    <w:rsid w:val="001B5ED0"/>
    <w:rsid w:val="001D7BDF"/>
    <w:rsid w:val="001E6475"/>
    <w:rsid w:val="001F1F1E"/>
    <w:rsid w:val="001F4FE0"/>
    <w:rsid w:val="00201EA1"/>
    <w:rsid w:val="002037BE"/>
    <w:rsid w:val="00205073"/>
    <w:rsid w:val="00211FD0"/>
    <w:rsid w:val="0022368E"/>
    <w:rsid w:val="00223825"/>
    <w:rsid w:val="002316CB"/>
    <w:rsid w:val="002332F2"/>
    <w:rsid w:val="002406B1"/>
    <w:rsid w:val="00244306"/>
    <w:rsid w:val="00244CD7"/>
    <w:rsid w:val="002632CB"/>
    <w:rsid w:val="00270AB4"/>
    <w:rsid w:val="00291793"/>
    <w:rsid w:val="002B7EDB"/>
    <w:rsid w:val="002C7564"/>
    <w:rsid w:val="002E19FA"/>
    <w:rsid w:val="002E2BDC"/>
    <w:rsid w:val="00312858"/>
    <w:rsid w:val="00322342"/>
    <w:rsid w:val="00322EB2"/>
    <w:rsid w:val="00361440"/>
    <w:rsid w:val="00364E6C"/>
    <w:rsid w:val="00376F0E"/>
    <w:rsid w:val="00397EC1"/>
    <w:rsid w:val="003A270F"/>
    <w:rsid w:val="003A2E07"/>
    <w:rsid w:val="003A320E"/>
    <w:rsid w:val="003A3E56"/>
    <w:rsid w:val="003A4856"/>
    <w:rsid w:val="003A4A56"/>
    <w:rsid w:val="003B69AA"/>
    <w:rsid w:val="003B7CEF"/>
    <w:rsid w:val="003D54B8"/>
    <w:rsid w:val="003E29F6"/>
    <w:rsid w:val="003E46FD"/>
    <w:rsid w:val="00405A31"/>
    <w:rsid w:val="00420F4A"/>
    <w:rsid w:val="004349DD"/>
    <w:rsid w:val="0045448A"/>
    <w:rsid w:val="0046276D"/>
    <w:rsid w:val="004636A0"/>
    <w:rsid w:val="0046619E"/>
    <w:rsid w:val="004810AB"/>
    <w:rsid w:val="00494E9A"/>
    <w:rsid w:val="004A3A6D"/>
    <w:rsid w:val="004A3BE7"/>
    <w:rsid w:val="004A6411"/>
    <w:rsid w:val="004C1EDC"/>
    <w:rsid w:val="004C7AFA"/>
    <w:rsid w:val="004D12CA"/>
    <w:rsid w:val="004D2D8D"/>
    <w:rsid w:val="004E20C4"/>
    <w:rsid w:val="004E2360"/>
    <w:rsid w:val="004E478C"/>
    <w:rsid w:val="004F2F89"/>
    <w:rsid w:val="00510182"/>
    <w:rsid w:val="00511C49"/>
    <w:rsid w:val="00512C9A"/>
    <w:rsid w:val="005132F7"/>
    <w:rsid w:val="00515301"/>
    <w:rsid w:val="00524D3F"/>
    <w:rsid w:val="0053166C"/>
    <w:rsid w:val="0053458D"/>
    <w:rsid w:val="00543B8A"/>
    <w:rsid w:val="00544321"/>
    <w:rsid w:val="00544943"/>
    <w:rsid w:val="00544F4A"/>
    <w:rsid w:val="0055756C"/>
    <w:rsid w:val="00565341"/>
    <w:rsid w:val="00571AED"/>
    <w:rsid w:val="00596174"/>
    <w:rsid w:val="005A131B"/>
    <w:rsid w:val="005A53B7"/>
    <w:rsid w:val="005D6A94"/>
    <w:rsid w:val="005E0C96"/>
    <w:rsid w:val="005E1AB4"/>
    <w:rsid w:val="005E6D53"/>
    <w:rsid w:val="005F25CF"/>
    <w:rsid w:val="0061049D"/>
    <w:rsid w:val="00610543"/>
    <w:rsid w:val="00626AA3"/>
    <w:rsid w:val="006326D8"/>
    <w:rsid w:val="00640C0F"/>
    <w:rsid w:val="006562DA"/>
    <w:rsid w:val="00660B8B"/>
    <w:rsid w:val="006A2CD6"/>
    <w:rsid w:val="006A5AEB"/>
    <w:rsid w:val="006B432B"/>
    <w:rsid w:val="006C6F8B"/>
    <w:rsid w:val="006E10D4"/>
    <w:rsid w:val="006E5993"/>
    <w:rsid w:val="006F30F5"/>
    <w:rsid w:val="00727873"/>
    <w:rsid w:val="00730A59"/>
    <w:rsid w:val="00756FB1"/>
    <w:rsid w:val="007623D4"/>
    <w:rsid w:val="00771725"/>
    <w:rsid w:val="00780D05"/>
    <w:rsid w:val="00796893"/>
    <w:rsid w:val="007A3885"/>
    <w:rsid w:val="007A554A"/>
    <w:rsid w:val="007B4E87"/>
    <w:rsid w:val="007B678F"/>
    <w:rsid w:val="007C11AE"/>
    <w:rsid w:val="007C1F8C"/>
    <w:rsid w:val="007C2958"/>
    <w:rsid w:val="007D310E"/>
    <w:rsid w:val="007D754D"/>
    <w:rsid w:val="007E43B0"/>
    <w:rsid w:val="00803EAE"/>
    <w:rsid w:val="008177A5"/>
    <w:rsid w:val="008352DA"/>
    <w:rsid w:val="00835748"/>
    <w:rsid w:val="008672B7"/>
    <w:rsid w:val="00877629"/>
    <w:rsid w:val="008779BB"/>
    <w:rsid w:val="008808CC"/>
    <w:rsid w:val="008A5553"/>
    <w:rsid w:val="008D5388"/>
    <w:rsid w:val="008F534A"/>
    <w:rsid w:val="00913263"/>
    <w:rsid w:val="00923200"/>
    <w:rsid w:val="0092729F"/>
    <w:rsid w:val="00933880"/>
    <w:rsid w:val="009447C0"/>
    <w:rsid w:val="00950C89"/>
    <w:rsid w:val="00952022"/>
    <w:rsid w:val="00971A91"/>
    <w:rsid w:val="00983AE7"/>
    <w:rsid w:val="00986D2E"/>
    <w:rsid w:val="00994221"/>
    <w:rsid w:val="009A2F27"/>
    <w:rsid w:val="009D4D8F"/>
    <w:rsid w:val="009D5A34"/>
    <w:rsid w:val="009F3892"/>
    <w:rsid w:val="00A35228"/>
    <w:rsid w:val="00A52760"/>
    <w:rsid w:val="00A811E7"/>
    <w:rsid w:val="00A83ED3"/>
    <w:rsid w:val="00A85B58"/>
    <w:rsid w:val="00A86E24"/>
    <w:rsid w:val="00A9042F"/>
    <w:rsid w:val="00A96596"/>
    <w:rsid w:val="00A97742"/>
    <w:rsid w:val="00AA0BC1"/>
    <w:rsid w:val="00AA69A1"/>
    <w:rsid w:val="00AB0AC7"/>
    <w:rsid w:val="00AB702E"/>
    <w:rsid w:val="00AC0DDA"/>
    <w:rsid w:val="00AC6432"/>
    <w:rsid w:val="00AD2642"/>
    <w:rsid w:val="00AD38EB"/>
    <w:rsid w:val="00B072F0"/>
    <w:rsid w:val="00B12FCD"/>
    <w:rsid w:val="00B137D5"/>
    <w:rsid w:val="00B31D85"/>
    <w:rsid w:val="00B36B08"/>
    <w:rsid w:val="00B5106D"/>
    <w:rsid w:val="00B77BB0"/>
    <w:rsid w:val="00BB4596"/>
    <w:rsid w:val="00BB51D9"/>
    <w:rsid w:val="00BC3383"/>
    <w:rsid w:val="00BD7E08"/>
    <w:rsid w:val="00BE0EBA"/>
    <w:rsid w:val="00BE358F"/>
    <w:rsid w:val="00BF375D"/>
    <w:rsid w:val="00C00AC6"/>
    <w:rsid w:val="00C1256F"/>
    <w:rsid w:val="00C5432F"/>
    <w:rsid w:val="00C67525"/>
    <w:rsid w:val="00C727D4"/>
    <w:rsid w:val="00C72EAC"/>
    <w:rsid w:val="00C9773A"/>
    <w:rsid w:val="00CA0993"/>
    <w:rsid w:val="00CA58AE"/>
    <w:rsid w:val="00CB3F6C"/>
    <w:rsid w:val="00CC3F0E"/>
    <w:rsid w:val="00CC76E2"/>
    <w:rsid w:val="00CF513A"/>
    <w:rsid w:val="00D03C1C"/>
    <w:rsid w:val="00D060CA"/>
    <w:rsid w:val="00D34709"/>
    <w:rsid w:val="00D47015"/>
    <w:rsid w:val="00D50C0B"/>
    <w:rsid w:val="00D61DF9"/>
    <w:rsid w:val="00D75D16"/>
    <w:rsid w:val="00D82215"/>
    <w:rsid w:val="00D95031"/>
    <w:rsid w:val="00DA3872"/>
    <w:rsid w:val="00DB054E"/>
    <w:rsid w:val="00DB76AA"/>
    <w:rsid w:val="00DC16FA"/>
    <w:rsid w:val="00DC47D1"/>
    <w:rsid w:val="00DD2BF5"/>
    <w:rsid w:val="00DD39B1"/>
    <w:rsid w:val="00DE0A4D"/>
    <w:rsid w:val="00E0280D"/>
    <w:rsid w:val="00E31BBC"/>
    <w:rsid w:val="00E333FC"/>
    <w:rsid w:val="00E44C16"/>
    <w:rsid w:val="00E4583C"/>
    <w:rsid w:val="00E73A07"/>
    <w:rsid w:val="00E749E0"/>
    <w:rsid w:val="00E83A26"/>
    <w:rsid w:val="00EB02ED"/>
    <w:rsid w:val="00EB1060"/>
    <w:rsid w:val="00EB1898"/>
    <w:rsid w:val="00EC2835"/>
    <w:rsid w:val="00EC3760"/>
    <w:rsid w:val="00EC656E"/>
    <w:rsid w:val="00ED5C8A"/>
    <w:rsid w:val="00EF7016"/>
    <w:rsid w:val="00F07EB1"/>
    <w:rsid w:val="00F1191D"/>
    <w:rsid w:val="00F11B6D"/>
    <w:rsid w:val="00F138C3"/>
    <w:rsid w:val="00F30314"/>
    <w:rsid w:val="00F33765"/>
    <w:rsid w:val="00F41B0C"/>
    <w:rsid w:val="00F43D28"/>
    <w:rsid w:val="00F611B7"/>
    <w:rsid w:val="00F71BA7"/>
    <w:rsid w:val="00F826AD"/>
    <w:rsid w:val="00F845A0"/>
    <w:rsid w:val="00F854C5"/>
    <w:rsid w:val="00F96709"/>
    <w:rsid w:val="00FA0CD9"/>
    <w:rsid w:val="00FC4912"/>
    <w:rsid w:val="00FC4D26"/>
    <w:rsid w:val="00FD2D65"/>
    <w:rsid w:val="00FD5BBA"/>
    <w:rsid w:val="00FF0613"/>
    <w:rsid w:val="00FF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798F068-2F97-41E0-A74F-36DB314F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7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F11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72FE2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1A24F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772FE2"/>
    <w:rPr>
      <w:sz w:val="24"/>
      <w:szCs w:val="24"/>
    </w:rPr>
  </w:style>
  <w:style w:type="character" w:styleId="PageNumber">
    <w:name w:val="page number"/>
    <w:uiPriority w:val="99"/>
    <w:rsid w:val="001A24F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A24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772FE2"/>
    <w:rPr>
      <w:sz w:val="24"/>
      <w:szCs w:val="24"/>
    </w:rPr>
  </w:style>
  <w:style w:type="character" w:styleId="Hyperlink">
    <w:name w:val="Hyperlink"/>
    <w:uiPriority w:val="99"/>
    <w:rsid w:val="003223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B6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2FE2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54432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72FE2"/>
    <w:rPr>
      <w:sz w:val="20"/>
      <w:szCs w:val="20"/>
    </w:rPr>
  </w:style>
  <w:style w:type="character" w:styleId="FootnoteReference">
    <w:name w:val="footnote reference"/>
    <w:uiPriority w:val="99"/>
    <w:semiHidden/>
    <w:rsid w:val="00544321"/>
    <w:rPr>
      <w:rFonts w:cs="Times New Roman"/>
      <w:vertAlign w:val="superscript"/>
    </w:rPr>
  </w:style>
  <w:style w:type="character" w:styleId="FollowedHyperlink">
    <w:name w:val="FollowedHyperlink"/>
    <w:uiPriority w:val="99"/>
    <w:rsid w:val="00730A59"/>
    <w:rPr>
      <w:rFonts w:cs="Times New Roman"/>
      <w:color w:val="606420"/>
      <w:u w:val="single"/>
    </w:rPr>
  </w:style>
  <w:style w:type="character" w:styleId="CommentReference">
    <w:name w:val="annotation reference"/>
    <w:uiPriority w:val="99"/>
    <w:rsid w:val="00E0280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0280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E0280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0280D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E0280D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054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D39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5500 Research Files and Private Pension Plan Bulletins – Participants – Definition Changes</vt:lpstr>
    </vt:vector>
  </TitlesOfParts>
  <Company>Actuarial Research Corp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5500 Research Files and Private Pension Plan Bulletins – Participants – Definition Changes</dc:title>
  <dc:creator>Ryan Brake</dc:creator>
  <cp:lastModifiedBy>Alex Styduhar</cp:lastModifiedBy>
  <cp:revision>5</cp:revision>
  <cp:lastPrinted>2012-02-14T20:38:00Z</cp:lastPrinted>
  <dcterms:created xsi:type="dcterms:W3CDTF">2012-03-14T17:18:00Z</dcterms:created>
  <dcterms:modified xsi:type="dcterms:W3CDTF">2015-07-01T16:52:00Z</dcterms:modified>
</cp:coreProperties>
</file>